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Pr="00AD3539" w:rsidRDefault="00FE70FE" w:rsidP="00FE70FE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  <w:r w:rsidRPr="00AD3539"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  <w:t>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</w:t>
      </w:r>
    </w:p>
    <w:p w:rsidR="00FE70FE" w:rsidRPr="00AD3539" w:rsidRDefault="00FE70FE" w:rsidP="00FE70F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3C3C3C"/>
          <w:spacing w:val="2"/>
          <w:sz w:val="24"/>
          <w:szCs w:val="24"/>
        </w:rPr>
        <w:br/>
        <w:t>КАБИНЕТ МИНИСТРОВ РЕСПУБЛИКИ ТАТАРСТАН</w:t>
      </w:r>
    </w:p>
    <w:p w:rsidR="00FE70FE" w:rsidRPr="00AD3539" w:rsidRDefault="00FE70FE" w:rsidP="00FE70F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3C3C3C"/>
          <w:spacing w:val="2"/>
          <w:sz w:val="24"/>
          <w:szCs w:val="24"/>
        </w:rPr>
        <w:t>ПОСТАНОВЛЕНИЕ</w:t>
      </w:r>
    </w:p>
    <w:p w:rsidR="00FE70FE" w:rsidRPr="00AD3539" w:rsidRDefault="00FE70FE" w:rsidP="00FE70F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3C3C3C"/>
          <w:spacing w:val="2"/>
          <w:sz w:val="24"/>
          <w:szCs w:val="24"/>
        </w:rPr>
        <w:t>от 19 июля 2010 года N 573</w:t>
      </w:r>
    </w:p>
    <w:p w:rsidR="00FE70FE" w:rsidRPr="00AD3539" w:rsidRDefault="00FE70FE" w:rsidP="00FE70F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3C3C3C"/>
          <w:spacing w:val="2"/>
          <w:sz w:val="24"/>
          <w:szCs w:val="24"/>
        </w:rPr>
        <w:t>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E70FE" w:rsidRDefault="00FE70FE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3592C" w:rsidRDefault="00F3592C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3592C" w:rsidRDefault="00F3592C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F3592C" w:rsidRDefault="00F3592C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</w:p>
    <w:p w:rsidR="00AD3539" w:rsidRPr="00AD3539" w:rsidRDefault="00AD3539" w:rsidP="00AD3539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</w:pPr>
      <w:r w:rsidRPr="00AD3539">
        <w:rPr>
          <w:rFonts w:ascii="Arial" w:eastAsia="Times New Roman" w:hAnsi="Arial" w:cs="Arial"/>
          <w:b/>
          <w:bCs/>
          <w:color w:val="2D2D2D"/>
          <w:spacing w:val="2"/>
          <w:kern w:val="36"/>
          <w:sz w:val="24"/>
          <w:szCs w:val="24"/>
        </w:rPr>
        <w:lastRenderedPageBreak/>
        <w:t>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</w:t>
      </w:r>
    </w:p>
    <w:p w:rsidR="00AD3539" w:rsidRPr="00AD3539" w:rsidRDefault="00AD3539" w:rsidP="00AD353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3C3C3C"/>
          <w:spacing w:val="2"/>
          <w:sz w:val="24"/>
          <w:szCs w:val="24"/>
        </w:rPr>
        <w:br/>
        <w:t>КАБИНЕТ МИНИСТРОВ РЕСПУБЛИКИ ТАТАРСТАН</w:t>
      </w:r>
    </w:p>
    <w:p w:rsidR="00AD3539" w:rsidRPr="00AD3539" w:rsidRDefault="00AD3539" w:rsidP="00AD353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3C3C3C"/>
          <w:spacing w:val="2"/>
          <w:sz w:val="24"/>
          <w:szCs w:val="24"/>
        </w:rPr>
        <w:t>ПОСТАНОВЛЕНИЕ</w:t>
      </w:r>
    </w:p>
    <w:p w:rsidR="00AD3539" w:rsidRPr="00AD3539" w:rsidRDefault="00AD3539" w:rsidP="00AD353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3C3C3C"/>
          <w:spacing w:val="2"/>
          <w:sz w:val="24"/>
          <w:szCs w:val="24"/>
        </w:rPr>
        <w:t>от 19 июля 2010 года N 573</w:t>
      </w:r>
    </w:p>
    <w:p w:rsidR="00AD3539" w:rsidRPr="00AD3539" w:rsidRDefault="00AD3539" w:rsidP="00AD353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3C3C3C"/>
          <w:spacing w:val="2"/>
          <w:sz w:val="24"/>
          <w:szCs w:val="24"/>
        </w:rPr>
        <w:t>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(в ред. Постановлений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 </w:t>
      </w:r>
      <w:hyperlink r:id="rId5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от 03.11.2010 N 886</w:t>
        </w:r>
      </w:hyperlink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,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от 27.01.2011 N 47, </w:t>
      </w:r>
      <w:hyperlink r:id="rId6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от 12.10.2011 N 846</w:t>
        </w:r>
      </w:hyperlink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,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 целях повышения качества предоставления государственных услуг, обеспечения их доступности для всех слоев населения и стандартизации требований к организациям, оказывающим государственные услуги, Кабинет Министров Республики Татарстан 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ПОСТАНОВЛЯЕТ: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1. Утвердить прилагаемые Стандарты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2. Министерству образования и науки Республики Татарстан, Министерству по делам молодежи, спорту и туризму Республики Татарстан довести Стандарты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значения, утвержденные настоящим Постановлением, до подведомственных государственных образовательных организаций, оказывающих государственную услугу по предоставлению дополнительного образования детей, и обеспечить выполнение их требований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Премьер-министр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Республики Татарстан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И.Ш.ХАЛИКОВ</w:t>
      </w:r>
    </w:p>
    <w:p w:rsid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</w:p>
    <w:p w:rsid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</w:p>
    <w:p w:rsid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</w:p>
    <w:p w:rsid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</w:p>
    <w:p w:rsid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</w:p>
    <w:p w:rsid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</w:p>
    <w:p w:rsidR="00AD3539" w:rsidRPr="00AD3539" w:rsidRDefault="00AD3539" w:rsidP="00AD3539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3C3C3C"/>
          <w:spacing w:val="2"/>
          <w:sz w:val="24"/>
          <w:szCs w:val="24"/>
        </w:rPr>
        <w:lastRenderedPageBreak/>
        <w:t>СТАНДАРТЫ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Утверждены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Постановлением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Кабинета Министров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Республики Татарстан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от 19 июля 2010 года N 573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(в ред. Постановлений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 </w:t>
      </w:r>
      <w:hyperlink r:id="rId7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от 03.11.2010 N 886</w:t>
        </w:r>
      </w:hyperlink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,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от 27.01.2011 N 47, </w:t>
      </w:r>
      <w:hyperlink r:id="rId8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от 12.10.2011 N 846</w:t>
        </w:r>
      </w:hyperlink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,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от 29.11.2014 N 931)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1. Получатели государственной услуги в системе дополнительного образования детей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1.1.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Получателями государственной услуги в системе дополнительного образования детей (далее - государственная услуга) являются дети в возрасте от 4 до 18 лет, для обучающихся организаций дополнительного образования физкультурно-спортивной направленности (детско-юношеские спортивные школы (далее - ДЮСШ), специализированные детско-юношеские школы олимпийского резерва (далее - СДЮШОР)) возраст устанавливается согласно программам по видам спорта (от 4 лет до 21 года включительно, для обучающихся групп спортивного совершенствования и высшего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спортивного мастерства, входящих в состав сборных команд Республики Татарстан и Российской Федерации по видам спорта, возрастные ограничения не распространяются), являющиеся гражданами Российской Федерации, не имеющие противопоказаний по состоянию здоровья к зачислению в организацию дополнительного образования регионального </w:t>
      </w:r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значения (далее - Организация)</w:t>
      </w:r>
      <w:proofErr w:type="gramStart"/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</w:t>
      </w:r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N 931)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2. Правовые акты, регулирующие оказание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2.1. Государственная услуга предоставляется в соответствии со следующими законодательными, нормативными правовыми актами, методическим</w:t>
      </w:r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и и инструктивными документами: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Конвенция о правах ребенка, одобренная Генерал</w:t>
      </w:r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ьной Ассамблеей ООН 20.11.1989;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9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Конституция Российской Федерации</w:t>
        </w:r>
      </w:hyperlink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10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Федеральный закон от 29 декабря 2012 года N 275-ФЗ "Об образовании в Российской Федерации"</w:t>
        </w:r>
      </w:hyperlink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11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Федеральный закон от 24 июня 1999 года N 120-ФЗ "Об основах системы профилактики безнадзорности и правонарушений несовершеннолетних"</w:t>
        </w:r>
      </w:hyperlink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12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Федеральный закон от 4 декабря 2007 года N 329-ФЗ "О физической культуре и спорте в Российской Федерации"</w:t>
        </w:r>
      </w:hyperlink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13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Правительства Российской Федерации от 15 августа 2013 года N 706 "Об утверждении Правил оказания платных образовательных услуг"</w:t>
        </w:r>
      </w:hyperlink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14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Правительства Российской Федерации от 28 октября 2013 года N 966 "О лицензировании образовательной деятельности"</w:t>
        </w:r>
      </w:hyperlink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15" w:history="1">
        <w:proofErr w:type="gramStart"/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Постановление Главного государственного санитарного врача Российской Федерации от 30 января 2003 года N 4 "О введении в действие </w:t>
        </w:r>
        <w:proofErr w:type="spellStart"/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СанПиН</w:t>
        </w:r>
        <w:proofErr w:type="spellEnd"/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 2.1.2.1188-03"</w:t>
        </w:r>
      </w:hyperlink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16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Постановление Главного государственного санитарного врача Российской Федерации от 4 июля 2014 года N 41 "Об утверждении </w:t>
        </w:r>
        <w:proofErr w:type="spellStart"/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СанПиН</w:t>
        </w:r>
        <w:proofErr w:type="spellEnd"/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</w:t>
        </w:r>
      </w:hyperlink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ГОСТ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Р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52024-2003 "Услуги физкультурно-оздоровительные и</w:t>
      </w:r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спортивные. Общие требования";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ГОСТ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Р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52025-2003 "Услуги физкультурно-оздоровительные и спортивные.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Требова</w:t>
      </w:r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ния безопасности потребителей";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17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Приказ Министерства образования Российской Федерации от 03.05.2000 N 1276 "О государственной аккредитации образовательных учреждений дополнительного образования детей"</w:t>
        </w:r>
      </w:hyperlink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18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Приказ Министерства образования и науки Российской Федерации от 29.08.2013 N 1008 "Об утверждении Порядка организации и осуществления образовательной деятельности по дополнительным общеобразовательным программам"</w:t>
        </w:r>
      </w:hyperlink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Ко</w:t>
      </w:r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нституция Республики Татарстан;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19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Закон Республики Татарстан от 22 июля 2013 года N 68-ЗРТ "Об образовании"</w:t>
        </w:r>
      </w:hyperlink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20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Кабинета Министров Республики Татарстан от 12.12.2005 N 597 "О привлечении внебюджетных средств на развитие и укрепление материально-технической базы бюджетных учреждений дополнительного образования детей"</w:t>
        </w:r>
      </w:hyperlink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21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Кабинета Министров Республики Татарстан от 30.06.2009 N 446 "О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Республики Татарстан"</w:t>
        </w:r>
      </w:hyperlink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Приказ Министерства образования и науки Республики Татарстан от 15.09.2009 N 1803/08 "Об утверждении типовых критериев оценки эффективности деятельности работников муниципальных бюд</w:t>
      </w:r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жетных учреждений образования";</w:t>
      </w:r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устав Организации;</w:t>
      </w:r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локальные акты Организации;</w:t>
      </w:r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настоящие Стандарты;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иные нормативные правовые акты, установленные правила и нормы по </w:t>
      </w:r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вопросам предоставления услуги</w:t>
      </w:r>
      <w:proofErr w:type="gramStart"/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п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 2.1 в ред. Постановл</w:t>
      </w:r>
      <w:r>
        <w:rPr>
          <w:rFonts w:ascii="Arial" w:eastAsia="Times New Roman" w:hAnsi="Arial" w:cs="Arial"/>
          <w:color w:val="2D2D2D"/>
          <w:spacing w:val="2"/>
          <w:sz w:val="24"/>
          <w:szCs w:val="24"/>
        </w:rPr>
        <w:t>ения КМ РТ от 29.11.2014 N 931)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3. Исчерпывающий перечень документов, необходимых для получения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700"/>
        <w:gridCol w:w="3562"/>
        <w:gridCol w:w="2788"/>
        <w:gridCol w:w="2305"/>
      </w:tblGrid>
      <w:tr w:rsidR="00AD3539" w:rsidRPr="00AD3539" w:rsidTr="00AD3539">
        <w:trPr>
          <w:trHeight w:val="15"/>
        </w:trPr>
        <w:tc>
          <w:tcPr>
            <w:tcW w:w="739" w:type="dxa"/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D3539" w:rsidRPr="00AD3539" w:rsidTr="00AD353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</w:t>
            </w:r>
            <w:proofErr w:type="spellEnd"/>
            <w:proofErr w:type="gram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</w:t>
            </w: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Перечень документов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Организация, осуществляющая выдачу документа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Срок действия документа со дня его выдачи</w:t>
            </w:r>
          </w:p>
        </w:tc>
      </w:tr>
      <w:tr w:rsidR="00AD3539" w:rsidRPr="00AD3539" w:rsidTr="00AD353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Документ, удостоверяющий личность гражданина: паспорт;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территориальные органы Федеральной миграционной службы России и их структурные подразделения,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14 лет и старше</w:t>
            </w:r>
          </w:p>
        </w:tc>
      </w:tr>
      <w:tr w:rsidR="00AD3539" w:rsidRPr="00AD3539" w:rsidTr="00AD3539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свидетельство о рождении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органы записи актов гражданского </w:t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состояния по месту жительства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до 14 лет</w:t>
            </w:r>
          </w:p>
        </w:tc>
      </w:tr>
      <w:tr w:rsidR="00AD3539" w:rsidRPr="00AD3539" w:rsidTr="00AD353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Заявление родителя</w:t>
            </w:r>
            <w:proofErr w:type="gram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(-</w:t>
            </w:r>
            <w:proofErr w:type="gram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ей), опекуна или попечителя; личное заявление (для детей с 14 лет)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-</w:t>
            </w:r>
          </w:p>
        </w:tc>
      </w:tr>
      <w:tr w:rsidR="00AD3539" w:rsidRPr="00AD3539" w:rsidTr="00AD353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Заключение медицинской организации государственной или муниципальной системы здравоохранения о состоянии здоровья ребенка (для занятий в спортивных, спортивно-технических, туристских, хореографических объединениях)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организация государственной или муниципальной системы здравоохранения по месту жительства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 месяца</w:t>
            </w:r>
          </w:p>
        </w:tc>
      </w:tr>
      <w:tr w:rsidR="00AD3539" w:rsidRPr="00AD3539" w:rsidTr="00AD3539">
        <w:tc>
          <w:tcPr>
            <w:tcW w:w="10903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(в ред. Постановления </w:t>
            </w:r>
            <w:proofErr w:type="gram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КМ</w:t>
            </w:r>
            <w:proofErr w:type="gram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РТ от 29.11.2014 N 931)</w:t>
            </w:r>
          </w:p>
        </w:tc>
      </w:tr>
    </w:tbl>
    <w:p w:rsidR="00AD3539" w:rsidRPr="000269C7" w:rsidRDefault="00AD3539" w:rsidP="000269C7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4. Требования к порядку и условиям оказания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4.1.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Государственная 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услуга предоставляется в целях: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формирования и развития творч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еских способностей обучающихся;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удовлетворения индивидуальных потребностей обучающихся в интеллектуальном, художественно-эстетическом, нравственном и интеллектуальном развитии, а также в занятиях 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физической культурой и спортом;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формирования культуры здорового и безопа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сного образа жизни обучающихся;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обеспечения духовно-нравственного, гражданско-патриотического, военно-патриотического, тр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удового воспитания обучающихся;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выявления, развития и поддержки талантливых обучающихся, а также лиц, про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явивших выдающиеся способности;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профессио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нальной ориентации обучающихся;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создания и обеспечения необходимых условий для личностного развития, профессионального самоопределения и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творческого труда обучающихся;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подготовки спортивного резерва и спортсменов высокого класса в соответствии с федеральными стандартами спортивной подготовки, в том числе из числа учащихся с ограниченными возможностями здоровь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я, детей-инвалидов и инвалидов;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социализации и адаптации 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обучающихся к жизни в обществе;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формирова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ния общей культуры обучающихся;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удовлетворения иных образовательных потребностей и интересов обучающихся, не противоречащих законодательствам Российской Ф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едерации, Республики Татарстан.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4.2. Организация реализует дополнительные общеобразовательные программы в течение всего календарного го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да, включая каникулярное время.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4.3.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Организация осуществляет образовательный процесс в соответствии с индивидуальными учебными планами в объединениях по интересам, сформированных в группы обучающихся одного возраста или разных возрастных категорий (разновозрастные группы), являющиеся основным составом объединения (например, клубы, секции, кружки, лаборатории, студии, оркестры, творческие коллективы, ансамбли, театры) (далее - объед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инения), а также индивидуально.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4.4.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Обучение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по индивидуальному учебному плану, в том числе ускоренное обучение, в пределах осваиваемой дополнительной общеобразовательной программы осуществляется в порядке, установленном локальным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и правовыми актами Организации.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4.5. Занятия в объединениях могут проводиться по дополнительным общеобразовательным прогр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аммам различной направленности: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технической,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естественнонаучной,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физкульту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рно-спортивной,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художественной,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туристско-краеведческой,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социально-педагогической.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4.6. Содержание дополнительных </w:t>
      </w:r>
      <w:proofErr w:type="spell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общеразвивающих</w:t>
      </w:r>
      <w:proofErr w:type="spell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программ и сроки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обучения по ним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определяются образовательной программой, разработанной и утвержденной Организацией, с учетом особенностей социально-экономического развития республики, муниципального образования, национально-культурных традиций, запросов детей, потребности семьи, общеобразовательных организаций, детских и юношеских обществе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нных объединений и организаций.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4.7. Занятия в объединениях могут проводиться по группам, индивидуально или всем составом объединения. Допускается сочетание различных форм получен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ия образования и форм обучения.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4.8. Формы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обучения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по дополнительным общеобразовательным программам определяются Организацией самостоятельно, если иное не установлено законода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тельством Российской Федерации.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4.9. При реализации дополнительных общеобразовательных программ используются различные образовательные технологии, в том числе дистанционные образовательные те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хнологии, электронное обучение.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4.10. При реализации дополнительных общеобразовательных программ многопрофильной Организацией может применяться форма организации образовательной деятельности, основанная на модульном принципе представления содержания образовательной программы и построения учебных планов, использовании соответствую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щих образовательных технологий.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4.11. Использование при реализации дополнительных общеобразовательных программ методов и средств обучения и воспитания, образовательных технологий, наносящих вред физическому или психическому здо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ровью обучающихся, запрещается.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4.12. Организация ежегодно обновляет дополнительные общеобразовательные программы с учетом развития науки, техники, культуры, экономики,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технологий и социальной сферы.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4.13. Количество обучающихся в объединении, их возрастные категории, а также продолжительность учебных занятий в объединении зависят от направленности дополнительных общеобразовательных программ и определяются локаль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ным правовым актом Организации.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4.14. Каждый обучающийся имеет право заниматься в неск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ольких объединениях, менять их.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4.15. Предельная наполняемость групп (за исключением хоровых, танцевальных,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оркестровых групп) составляет: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15 обучающихся д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ля групп первого года обучения;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12 обучающихся для групп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второго года обучения;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10 обучающихся для групп третьего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и последующего годов обучения.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Предельная наполняемость групп по этапам спортивной подготовки в детско-юношеской спортивной школе, специализированной детско-юношеской 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спортивной школе олимпийского резерва определяется программой по виду спорта.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4.16. Учебная нагрузка по художественному, туристско-краеведческому, техническому, естественнонаучному и социально-педагогическому направлениям должна 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соответствовать учебным планам.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Недельный режим учебно-тренировочной работы по этапам подготовки в детско-юношеской спортивной школе и специализированной детско-юношеской спортивной школе олимпийского резерва определяется программой по виду спорта, но не может превышать недельного режи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ма, установленного в таблице 2.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4.17. Продолжительность занятий в Организации без перерыва должна составлять не более 40 минут, а для обучающихся дошкольного возраста - не более 30 минут. Необходимо проведение перерывов между занятиями длительностью не менее 10 минут для отдыха обучающ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ихся и проветривания помещений.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4.18. Расписание занятий составляется администрацией Организации для создания наиболее благоприятного режима труда и отдыха обучающихся, родителей (законных представителей) с учетом возрастных особенностей обучающихся и установленны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х санитарно-гигиенических норм.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4.19. При реализации дополнительных общеобразовательных программ Организация может организовывать и проводить массовые мероприятия, создавать необходимые условия для совместного труда и (или) отдыха обучающихся, родит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елей (законных представителей).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4.20. В работе объединений при наличии условий и согласия руководителя объединения могут участвовать совместно с несовершеннолетними обучающимися их родители (законные представители) б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ез включения в основной состав.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4.21. При реализации дополнительных общеобразовательных программ могут предусматриваться как аудиторные, так и внеаудиторные (самостоятельные) занятия, которые проводятся по группам или инд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ивидуально.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4.22. Организация определяет формы аудиторных занятий, а также формы, порядок и периодичность проведения промеж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уточной аттестации обучающихся.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4.23.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 Организациях обучающиеся по программам физкультурно-спортивной направленности обеспечиваются врачебным контролем.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Врачебный контроль над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обучающимися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на этапе начальной подготовки, включая спортивно-оздоровительные группы, осуществляется врачом Организации, а при его отсутствии - кабинетом врачебного контроля соответствующей территориальной поликлиники. Врачебный контроль над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обучающимися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, начиная с учебно-тренировочного этапа подготовки, осуществляется врачебно-физкультурным диспансером. Врач Организации осуществляет медицинский контроль учебно-тренировочного процесса и в период соревнований.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5. Требования к материально-техническому обеспечению оказания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5.1. В здании Организации должны быть предусмотрены соответствующие помещения, необходимые в соответствии с требованиями законодательства и отвечающие требованиям законодательства, для реализации соответствующих образовательных программ (учебные помещения, классные комнаты, гардеробная, специализированные помещения (спортивный и актовый залы, библиотека, студии и иные специализированные помещения) и т.д. в зависимости от предметной направленности образовательной деятельности)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9.11.2014 N 931)\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Размеры площадей основных и дополнительных помещений принимаются в соответствии с требованиями санитарных и строительных норм и правил в зависимости от реализуемых образовательных программ дополнительного образования, единовременной вместимости, технологии процесса обучения, инженерно-технического оборудования,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оснащения необходимой мебелью.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5.2. Организация должна быть оснащена оборудованием, аппаратурой и приборами, отвечающими требованиям санитарно-эпидемиологических правил и норм, стандартов, технических условий, других нормативных документов и обеспечивающими надлежащее 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качество государственных услуг</w:t>
      </w:r>
      <w:proofErr w:type="gramStart"/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ения КМ РТ от 29.11.2014 N 931)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6. Требования к безопасности оказания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6.1.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Организации должны быть зарегистрированы в качестве юридического лица в установленном законодательством по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рядке и иметь: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(в ред. Постановл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ения КМ РТ от 29.11.2014 N 931)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государственную аккредитацию;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лицензию по всем реализуемым им дополнитель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ным образовательным программам.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6.2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</w:t>
      </w:r>
      <w:proofErr w:type="gramStart"/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Помещения организации должны: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(в ред. Постановления КМ РТ от 29.11.2014 N 931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соответствовать </w:t>
      </w:r>
      <w:hyperlink r:id="rId22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Правилам пожарной безопасности</w:t>
        </w:r>
      </w:hyperlink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, утвержденным </w:t>
      </w:r>
      <w:hyperlink r:id="rId23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Федеральным законом от 22.07.2008 N 123-ФЗ "Технический регламент о требованиях пожарной безопасности"</w:t>
        </w:r>
      </w:hyperlink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,</w:t>
      </w:r>
      <w:hyperlink r:id="rId24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Правительства Российской Федерации от 25 апреля 2012 года N 390 "О противопожарном режиме"</w:t>
        </w:r>
      </w:hyperlink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(в ред. Постановл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санитарно-эпидемиологическим нормам, утвержденным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федеральным законодательством.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Не допускается размещать помещения для пребывания детей в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подвальных и цокольных этажах.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6.3. Специальное оборудование, приборы и аппаратура должны использоваться строго по назначению в соответствии с эксплуатационными документами, содержаться в 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технически исправном состоянии.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Неисправное специальное оборудование, приборы и аппаратура должны быть заменены, отремонтированы (если они подлежат ремон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ту) или изъяты из эксплуатации.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6.4.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Организация несет ответственность в установленном законодательствами Российской Федерации и Р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еспублики Татарстан порядке за: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(в ред. Постановл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выполнение фун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кций, определенных его уставом;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реализацию в полном объеме образовательных программ в соответствии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с утвержденным учебным планом;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соответствие форм, методов и средств организации образовательного процесса возрасту, 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интересам и потребностям детей;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жизнь и здоровье детей и работников Организации во в</w:t>
      </w:r>
      <w:r w:rsidR="000269C7">
        <w:rPr>
          <w:rFonts w:ascii="Arial" w:eastAsia="Times New Roman" w:hAnsi="Arial" w:cs="Arial"/>
          <w:color w:val="2D2D2D"/>
          <w:spacing w:val="2"/>
          <w:sz w:val="24"/>
          <w:szCs w:val="24"/>
        </w:rPr>
        <w:t>ремя образовательного процесса;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(в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соблюдение прав и свобод обучающихся и работников Организации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7. Требования, обеспечивающие доступность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7.1.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Гарантируется предоставление государственной услуги детям в возрасте от 4 до 18 лет, для детей, обучающихся в организациях физкультурно-спортивной направленности (детско-юношеские спортивные школы, специализированные детско-юношеские школы олимпийского резерва), - от 4 лет до 21 года включительно, для детей групп спортивного совершенствования и высшего спортивного мастерства, входящих в состав сборных команд Республики Татарстан и Российской Федерации по видам спорта, возрастные ограничения не распространяются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, являющимся гражданами Российской Федерации, не имеющим противопоказаний по состоянию здоровья к зачислению в учреждение дополнительного образования детей регионального значения в течение всего календарного года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7.2. Порядок приема детей в организацию в части, не отрегулированной законодательством Российской Федерации, определяется учредителем организации и закрепляется в уставе организации. При приеме детей организация обязана ознакомить их и (или) родителей (законных представителей) с уставом организации и другими документами, регламентирующими организацию образовательного процесса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7.3. Права и обязанности детей должны быть определены уставом и иными, предусмотренными уставом, локальными актами.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7.4. Расписание занятий организации в целях создания наиболее благоприятного режима труда и отдыха составляется администрацией организации по представлению педагогических работников с учетом пожеланий родителей (законных представителей), возрастных особенностей детей и установленных санитарно-гигиенических норм, при этом начало занятий в организациях, предоставляющих услугу, должно быть не ранее 8.00 часов, а их окончание - не позднее 20.00 часов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7.5.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Для удобства детей организация может предоставлять государственную услугу на базе образовательных организаций, приближенных к месту жительства детей, с обязательным выполнением всех требований настоящих Стандартов и законодательства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7.6. Деятельность детей в организациях осуществляется в одновозрастных и 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разновозрастных объединениях по интересам (клуб, студия, ансамбль, группа, секция, кружок, театр и другие) (далее - объединение)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Каждый ребенок имеет право заниматься в нескольких объединениях дополнительного образования, менять их.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7.7. Приостановление предоставления услуги носит заявительный характер. Место за получателем услуги в организации сохраняется в следующих случаях: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1) на период болезни ребенка или родителей (законных представителей);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2) санаторно-курортного лечения ребенка;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3) в иных случаях отсутствия ребенка по уважительным причинам, доказанным документально.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7.8. С детьми-инвалидами может проводиться индивидуальная работа по месту жительства.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7.9. Для обучающихся с ограниченными возможностями здоровья, детей-инвалидов, инвалидов многопрофильная Организация организует образовательный процесс по дополнительным общеобразовательным программам с учетом особенностей психофизического развития указанных категорий обучающихся.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Многопрофильная Организация должна создать специальные условия, без которых невозможно или затруднено освоение дополнительных общеобразовательных программ указанными категориями обучающихся, в соответствии с заключением </w:t>
      </w:r>
      <w:proofErr w:type="spell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психолого-медико-педагогической</w:t>
      </w:r>
      <w:proofErr w:type="spell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комиссии и индивидуальной программой реабилитации ребенка-инвалида и инвалида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п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 7.9 введен Постановлением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7.10.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 целях доступности получения дополнительного образования обучающимися с ограниченными возможностями здоровья, детьми-инвалидами и инвалидами многопрофильная Организация обеспечивает: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а) для обучающихся с ограниченными возможностями здоровья по зрению: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адаптацию официальных сайтов организаций, осуществляющих образовательную деятельность, в информационно-телекоммуникационной сети "Интернет" с учетом особых потребностей инвалидов по зрению с приведением их к международному стандарту доступности </w:t>
      </w:r>
      <w:proofErr w:type="spell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веб-контента</w:t>
      </w:r>
      <w:proofErr w:type="spell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и </w:t>
      </w:r>
      <w:proofErr w:type="spell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веб-сервисов</w:t>
      </w:r>
      <w:proofErr w:type="spell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(WCAG);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размещение в доступных для обучающихся, являющихся слепыми или слабовидящими, местах и в адаптированной форме (с учетом их особых потребностей) справочной информации о расписании лекций, учебных занятий 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(должна быть выполнена крупным (высота прописных букв не менее 7,5 см) рельефно-контрастным шрифтом (на белом или желтом фоне) и продублирована шрифтом Брайля);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присутствие ассистента, оказывающего обучающемуся необходимую помощь;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обеспечение выпуска альтернативных форматов печатных материалов (крупный шрифт или </w:t>
      </w:r>
      <w:proofErr w:type="spell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аудиофайлы</w:t>
      </w:r>
      <w:proofErr w:type="spell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);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обеспечение доступа обучающегося, являющегося слепым и использующего собаку-поводыря, к зданию Организации, располагающему местом для размещения собаки-поводыря в часы обучения самого учащегося;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б) для обучающихся с ограниченными возможностями здоровья по слуху: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дублирование звуковой справочной информации о расписании учебных занятий визуальной (установка мониторов с возможностью трансляции субтитров (мониторы, их размеры и количество необходимо определять с учетом размеров помещения));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обеспечение надлежащими звуковыми средствами воспроизведения информации;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в) для обучающихся, имеющих нарушения опорно-двигательного аппарата, материально-технические условия должны обеспечивать возможность беспрепятственного доступа обучающихся в учебные помещения, столовые, туалетные и другие помещения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метра;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наличие специальных кресел и других приспособлений)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п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 7.10 введен Постановлением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7.11. Численный состав объединения может быть уменьшен при включении в него обучающихся с ограниченными возможностями здоровья и (или) детей-инвалидов, инвалидов.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Численность обучающихся с ограниченными возможностями здоровья, детей-инвалидов и инвалидов в учебной группе устанавливается до 15 человек.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Занятия в объединениях с обучающимися с ограниченными возможностями здоровья, детьми-инвалидами и инвалидами могут быть организованы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 обучающимися с ограниченными возможностями здоровья, детьми-инвалидами и инвалидами может проводиться индивидуальная работа как в Организации, так и по месту жительства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п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 7.11 введен Постановлением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7.12. Содержание дополнительного образования и условия организации 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обучения и воспитания обучающихся с ограниченными возможностями здоровья, детей-инвалидов и инвалидов определяются адаптированной образовательной программой, а для инвалидов также в соответствии с индивидуальной программой реабилитации инвалида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п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 7.12 введен Постановлением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7.13. При реализации дополнительных общеобразовательных программ обучающимся с ограниченными возможностями здоровья, детям-инвалидам и инвалидам предоставляются бесплатно специальные учебники и учебные пособия, иная учебная литература, а также услуги </w:t>
      </w:r>
      <w:proofErr w:type="spell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сурдопереводчиков</w:t>
      </w:r>
      <w:proofErr w:type="spell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и </w:t>
      </w:r>
      <w:proofErr w:type="spell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тифлосурдопереводчиков</w:t>
      </w:r>
      <w:proofErr w:type="spell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(п. 7.13 введен Постановлением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8. Требования к уровню кадрового обеспечения оказания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8.1. Организация должна быть укомплектована квалифицированными специалистами в соответствии со штатным расписанием и количеством укомплектованных воспитанниками групп. Порядок комплектования персонала организации регламентируется ее уставом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8.2. К педагогической деятельности в организации допускаются лица, имеющие высшее или среднее профессиональное образование, отвечающие требованиям квалификационных характеристик, определенных для соответствующих должностей педагогических работников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8.3. В целях проведения методической работы, направленной на совершенствование образовательного процесса, программ, форм и методов деятельности объединений, мастерства педагогических работников, в организации создается методический совет. Порядок его работы определяется уставом организации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8.4. Повышение квалификации педагогических и руководящих работников Организации проводится не реже чем один раз в три года путем получения дополнительного профессионального образования и (или) дополнительного профессионального образования в форме стажировки в организациях дополнительного профессионального образования, в организациях высшего образования и иных организациях, имеющих соответствующую лицензию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п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 8.4 в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lastRenderedPageBreak/>
        <w:t xml:space="preserve">9. Требования </w:t>
      </w:r>
      <w:proofErr w:type="gramStart"/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к уровню информационного обеспечения получателей государственной услуги по предоставлению дополнительного образования детям в организациях дополнительного образования регионального значения при обращении за ее получением</w:t>
      </w:r>
      <w:proofErr w:type="gramEnd"/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 xml:space="preserve"> и в ходе оказания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9.1. В соответствии с требованиями </w:t>
      </w:r>
      <w:hyperlink r:id="rId25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Закона Российской Федерации от 07.02.1992 N 2300-1 "О защите прав потребителей"</w:t>
        </w:r>
      </w:hyperlink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 организация обязана довести до сведения получателей свое наименование, местонахождение (адрес) и режим работы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9.2. Информация об организации, его государственной регистрации, наименовании зарегистрировавшего его органа, объеме государственного задания на очередной финансовый год должна быть размещена на интернет-сайте органа государственной власти Республики Татарстан, выдавшего государственное задание организации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9.3. До получателя государственной услуги в любой форме, предусмотренной законодательством Российской Федерации и обеспечивающей ее доступность для населения, должна быть доведена информация о виде деятельности организации, номере лицензии и (или) номере свидетельства о государственной аккредитации, сроках действия указанных лицензии и (или) свидетельства, а также информация об органе, выдавшем указанные лицензию и (или) свидетельство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9.4. Организация обязана своевременно предоставить получателю достоверную информацию об услугах, обеспечивающую возможность их правильного выбора, ознакомить с правилами и условиями пользования государственной услуги.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 состав информации об услугах, предоставляемых организацией, должны быть включены: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(в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перечень основных услуг, предоставляемых организацией;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(в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характеристика услуг;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наименования государственных и настоящих стандартов;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информация о качестве услуг, условиях их предоставления;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информация о возможности влияния получателей услуг на качество услуги;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сведения о средствах коммуникации получателей услуг с работниками 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организации;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информация о возможности оценки качества услуг со стороны получателя;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информация о предоставлении государственной услуги за плату с указанием размера стоимости государственной услуги;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правила и условия эффективного и безопасного предоставления услуг;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гарантийные обязательства организации - исполнителя услуг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9.5. Информация о предоставлении государственной услуги должна содержать указание на конкретное лицо, которое будет оказывать данную услугу.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9.6. Способ и порядок предоставления информации определяются в соответствии с законодательствами Российской Федерации и Республики Татарстан.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9.7. Родителям (законным представителям) детей должна быть обеспечена возможность ознакомления с ходом и содержанием образовательного процесса.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10. Исчерпывающий перечень оснований для отказа в оказании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10.1. Организация может отказать ребенку или родителю (законному представителю) в получении государственной услуги только в случае противопоказания для ребенка заниматься данным видом деятельности (медицинское заключение о состоянии здоровья)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11. Описание результата оказания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(в ред. Постановления КМ РТ </w:t>
      </w:r>
      <w:hyperlink r:id="rId26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от 12.10.2011 N 846</w:t>
        </w:r>
      </w:hyperlink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)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11.1. Результатом предоставления государственной услуги является освоение программы дополнительного образования детей.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11.2. Показателями (индикаторами) качества предоставления государственной услуги являются: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377"/>
        <w:gridCol w:w="1488"/>
        <w:gridCol w:w="1772"/>
        <w:gridCol w:w="1164"/>
        <w:gridCol w:w="1124"/>
        <w:gridCol w:w="1244"/>
        <w:gridCol w:w="1186"/>
      </w:tblGrid>
      <w:tr w:rsidR="00AD3539" w:rsidRPr="00AD3539" w:rsidTr="00AD3539">
        <w:trPr>
          <w:trHeight w:val="15"/>
        </w:trPr>
        <w:tc>
          <w:tcPr>
            <w:tcW w:w="3511" w:type="dxa"/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D3539" w:rsidRPr="00AD3539" w:rsidTr="00AD3539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Наименование индикатор</w:t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а, единицы измерения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Методика расчета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Источник информации</w:t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Пороговое значение индикатора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Весовой коэффициент</w:t>
            </w:r>
          </w:p>
        </w:tc>
      </w:tr>
      <w:tr w:rsidR="00AD3539" w:rsidRPr="00AD3539" w:rsidTr="00AD3539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для </w:t>
            </w:r>
            <w:proofErr w:type="spellStart"/>
            <w:proofErr w:type="gram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много-профильных</w:t>
            </w:r>
            <w:proofErr w:type="spellEnd"/>
            <w:proofErr w:type="gram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Организаций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для ДЮСШ, СДЮСШОР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для училищ олимпийского резерва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D3539" w:rsidRPr="00AD3539" w:rsidTr="00AD3539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Отношение фактической наполняемости групп </w:t>
            </w:r>
            <w:proofErr w:type="gram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</w:t>
            </w:r>
            <w:proofErr w:type="gram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нормативной (процентов)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noProof/>
                <w:color w:val="2D2D2D"/>
                <w:sz w:val="24"/>
                <w:szCs w:val="24"/>
              </w:rPr>
              <w:drawing>
                <wp:inline distT="0" distB="0" distL="0" distR="0">
                  <wp:extent cx="476250" cy="342900"/>
                  <wp:effectExtent l="19050" t="0" r="0" b="0"/>
                  <wp:docPr id="1" name="Рисунок 1" descr="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 где: </w:t>
            </w:r>
            <w:proofErr w:type="gram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А - фактическая наполняемость групп; В - нормативная наполняемость групп</w:t>
            </w:r>
            <w:proofErr w:type="gram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определяется по результатам мониторингов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50, не менее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80, не менее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100, не менее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</w:tr>
      <w:tr w:rsidR="00AD3539" w:rsidRPr="00AD3539" w:rsidTr="00AD3539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Количество обучающихся, принимающих участие в конкурсах, фестивалях, смотрах, выставках, конференциях, соревнованиях и иных подобных мероприятиях, в общем количестве обучающихся (процентов от контингента), в том </w:t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числе: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noProof/>
                <w:color w:val="2D2D2D"/>
                <w:sz w:val="24"/>
                <w:szCs w:val="24"/>
              </w:rPr>
              <w:lastRenderedPageBreak/>
              <w:drawing>
                <wp:inline distT="0" distB="0" distL="0" distR="0">
                  <wp:extent cx="476250" cy="342900"/>
                  <wp:effectExtent l="19050" t="0" r="0" b="0"/>
                  <wp:docPr id="2" name="Рисунок 2" descr="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 где: </w:t>
            </w:r>
            <w:proofErr w:type="gram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А - количество обучающихся, принимающих участие в конкурсах, фестивалях, смотрах, выставках, конференциях, соревнованиях и иных подобных мероприятиях; В - общее количество обучающихся</w:t>
            </w:r>
            <w:proofErr w:type="gramEnd"/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определяется по результатам мониторингов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20, не менее 10, не менее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20, не менее 10, не менее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100, не менее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</w:tr>
      <w:tr w:rsidR="00AD3539" w:rsidRPr="00AD3539" w:rsidTr="00AD3539">
        <w:tc>
          <w:tcPr>
            <w:tcW w:w="18110" w:type="dxa"/>
            <w:gridSpan w:val="7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 xml:space="preserve">(в ред. Постановления </w:t>
            </w:r>
            <w:proofErr w:type="gram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КМ</w:t>
            </w:r>
            <w:proofErr w:type="gram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РТ от 29.11.2014 N 931)</w:t>
            </w:r>
          </w:p>
        </w:tc>
      </w:tr>
      <w:tr w:rsidR="00AD3539" w:rsidRPr="00AD3539" w:rsidTr="00AD3539"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городских;</w:t>
            </w: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20, не менее 10,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20, не менее 10,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100, не менее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</w:tr>
      <w:tr w:rsidR="00AD3539" w:rsidRPr="00AD3539" w:rsidTr="00AD3539"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региональных;</w:t>
            </w: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не менее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не менее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</w:tr>
      <w:tr w:rsidR="00AD3539" w:rsidRPr="00AD3539" w:rsidTr="00AD3539"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федеральных, международных</w:t>
            </w: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0,5, не менее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0,5, не менее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100, не менее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</w:tr>
      <w:tr w:rsidR="00AD3539" w:rsidRPr="00AD3539" w:rsidTr="00AD3539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Доля педагогических кадров с высшим образованием от общего числа педагогов (процентов)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noProof/>
                <w:color w:val="2D2D2D"/>
                <w:sz w:val="24"/>
                <w:szCs w:val="24"/>
              </w:rPr>
              <w:drawing>
                <wp:inline distT="0" distB="0" distL="0" distR="0">
                  <wp:extent cx="476250" cy="342900"/>
                  <wp:effectExtent l="19050" t="0" r="0" b="0"/>
                  <wp:docPr id="3" name="Рисунок 3" descr="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 где: А - количество педагогических кадров с высшим образованием; В - общее количество педагогов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форма статистического наблюдения N 1-ДО "Сведения об учреждении дополнительного образования детей" (</w:t>
            </w: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утверждена</w:t>
            </w:r>
            <w:hyperlink r:id="rId28" w:history="1">
              <w:r w:rsidRPr="00AD3539">
                <w:rPr>
                  <w:rFonts w:ascii="Times New Roman" w:eastAsia="Times New Roman" w:hAnsi="Times New Roman" w:cs="Times New Roman"/>
                  <w:color w:val="00466E"/>
                  <w:sz w:val="24"/>
                  <w:szCs w:val="24"/>
                  <w:u w:val="single"/>
                </w:rPr>
                <w:t>Приказом</w:t>
              </w:r>
              <w:proofErr w:type="spellEnd"/>
              <w:r w:rsidRPr="00AD3539">
                <w:rPr>
                  <w:rFonts w:ascii="Times New Roman" w:eastAsia="Times New Roman" w:hAnsi="Times New Roman" w:cs="Times New Roman"/>
                  <w:color w:val="00466E"/>
                  <w:sz w:val="24"/>
                  <w:szCs w:val="24"/>
                  <w:u w:val="single"/>
                </w:rPr>
                <w:t xml:space="preserve"> Федеральной службы государственной статистики от 20.07.2011 N 329</w:t>
              </w:r>
            </w:hyperlink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20, не менее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20, не менее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100, не менее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</w:tr>
      <w:tr w:rsidR="00AD3539" w:rsidRPr="00AD3539" w:rsidTr="00AD3539">
        <w:tc>
          <w:tcPr>
            <w:tcW w:w="18110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(в ред. Постановления </w:t>
            </w:r>
            <w:proofErr w:type="gram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КМ</w:t>
            </w:r>
            <w:proofErr w:type="gram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РТ от 29.11.2014 N 931)</w:t>
            </w:r>
          </w:p>
        </w:tc>
      </w:tr>
      <w:tr w:rsidR="00AD3539" w:rsidRPr="00AD3539" w:rsidTr="00AD3539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Выполнение учебных программ (процентов)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noProof/>
                <w:color w:val="2D2D2D"/>
                <w:sz w:val="24"/>
                <w:szCs w:val="24"/>
              </w:rPr>
              <w:drawing>
                <wp:inline distT="0" distB="0" distL="0" distR="0">
                  <wp:extent cx="476250" cy="342900"/>
                  <wp:effectExtent l="19050" t="0" r="0" b="0"/>
                  <wp:docPr id="4" name="Рисунок 4" descr="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 где: А - количество проведенных часов по программе; В - количество часов, предусмотренных программой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определяется по результатам мониторингов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100, не менее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100, не менее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100, не менее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</w:tr>
      <w:tr w:rsidR="00AD3539" w:rsidRPr="00AD3539" w:rsidTr="00AD3539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Сохранность контингента (проценто</w:t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в)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noProof/>
                <w:color w:val="2D2D2D"/>
                <w:sz w:val="24"/>
                <w:szCs w:val="24"/>
              </w:rPr>
              <w:lastRenderedPageBreak/>
              <w:drawing>
                <wp:inline distT="0" distB="0" distL="0" distR="0">
                  <wp:extent cx="476250" cy="342900"/>
                  <wp:effectExtent l="19050" t="0" r="0" b="0"/>
                  <wp:docPr id="5" name="Рисунок 5" descr="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 где: А - количество детей на </w:t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конец учебного года, занимающихся в Организации; В - количество детей на начало учебного года в Организации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 xml:space="preserve">форма статистического наблюдения N 1-ДО </w:t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"Сведения об учреждении дополнительного образования детей" (</w:t>
            </w: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утверждена</w:t>
            </w:r>
            <w:hyperlink r:id="rId29" w:history="1">
              <w:r w:rsidRPr="00AD3539">
                <w:rPr>
                  <w:rFonts w:ascii="Times New Roman" w:eastAsia="Times New Roman" w:hAnsi="Times New Roman" w:cs="Times New Roman"/>
                  <w:color w:val="00466E"/>
                  <w:sz w:val="24"/>
                  <w:szCs w:val="24"/>
                  <w:u w:val="single"/>
                </w:rPr>
                <w:t>Приказом</w:t>
              </w:r>
              <w:proofErr w:type="spellEnd"/>
              <w:r w:rsidRPr="00AD3539">
                <w:rPr>
                  <w:rFonts w:ascii="Times New Roman" w:eastAsia="Times New Roman" w:hAnsi="Times New Roman" w:cs="Times New Roman"/>
                  <w:color w:val="00466E"/>
                  <w:sz w:val="24"/>
                  <w:szCs w:val="24"/>
                  <w:u w:val="single"/>
                </w:rPr>
                <w:t xml:space="preserve"> Федеральной службы государственной статистики от 20.07.2011 N 329</w:t>
              </w:r>
            </w:hyperlink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70, не менее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70, не менее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75, не менее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</w:tr>
      <w:tr w:rsidR="00AD3539" w:rsidRPr="00AD3539" w:rsidTr="00AD3539">
        <w:tc>
          <w:tcPr>
            <w:tcW w:w="18110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 xml:space="preserve">(в ред. Постановления </w:t>
            </w:r>
            <w:proofErr w:type="gram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КМ</w:t>
            </w:r>
            <w:proofErr w:type="gram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РТ от 29.11.2014 N 931)</w:t>
            </w:r>
          </w:p>
        </w:tc>
      </w:tr>
      <w:tr w:rsidR="00AD3539" w:rsidRPr="00AD3539" w:rsidTr="00AD3539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Доля обучающихся, входящих в состав сборных команд России (основные резервные составы) по олимпийским видам спорта, в общем количестве обучающихся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noProof/>
                <w:color w:val="2D2D2D"/>
                <w:sz w:val="24"/>
                <w:szCs w:val="24"/>
              </w:rPr>
              <w:drawing>
                <wp:inline distT="0" distB="0" distL="0" distR="0">
                  <wp:extent cx="476250" cy="342900"/>
                  <wp:effectExtent l="19050" t="0" r="0" b="0"/>
                  <wp:docPr id="6" name="Рисунок 6" descr="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О СТАНДАРТАХ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 (с изменениями на: 29.11.201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 где: А - количество обучающихся, входящих в состав сборных команд России (основные резервные составы) по олимпийским видам спорта; В - общее количество обучающихся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определяется по результатам мониторингов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30, не менее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</w:tr>
      <w:tr w:rsidR="00AD3539" w:rsidRPr="00AD3539" w:rsidTr="00AD3539">
        <w:tc>
          <w:tcPr>
            <w:tcW w:w="18110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D3539" w:rsidRPr="00AD3539" w:rsidRDefault="00AD3539" w:rsidP="00AD35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(в ред. Постановления </w:t>
            </w:r>
            <w:proofErr w:type="gram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КМ</w:t>
            </w:r>
            <w:proofErr w:type="gram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РТ от 29.11.2014 N 931)</w:t>
            </w:r>
          </w:p>
        </w:tc>
      </w:tr>
    </w:tbl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12. Порядок подачи, регистрации и рассмотрения жалоб на несоответствие соблюдения государственной услуги по предоставлению дополнительного образования детям в организациях дополнительного образования регионального значения Стандартам качества государственной услуги по предоставлению дополнительного образования детям в организациях дополнительного образования регионального значения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12.1. Жалоба на нарушение порядка предоставления государственной услуги (далее - жалоба) подается в Организацию в письменной форме на бумажном носителе либо в электронной форме. Жалобы на решения, принятые руководителем Организации, подаются в вышестоящий орган (при его наличии) либо в случае его отсутствия рассматриваются непосредственно руководителем 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Организации.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12.2. Жалоба может быть направлена по почте, через многофункциональный центр, с использованием информационно-телекоммуникационной сети "Интернет", официального сайта Организации,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12.3. Жалоба должна отвечать требованиям, установленным законодательством об организации предоставления государственных и муниципальных услуг.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12.4.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Жалоба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Организации, должностного лица организации, предоставляющей государственную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регистрации.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12.5. По результатам рассмотрения жалобы Организация принимает в соответствии с законодательством об организации предоставления государственных и муниципальных услуг решение и не позднее рабочего дня, следующего за днем его принятия, направляет заявителю мотивированный ответ о результатах рассмотрения жалобы в письменной форме и по желанию заявителя в электронной форме.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12.6. Гражданин (его законный представитель) вправе обжаловать решения и действия (бездействие), связанные с предоставлением государственной услуги, в судебном порядке в соответствии с законодательством Российской Федерации.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 xml:space="preserve">13. Порядок </w:t>
      </w:r>
      <w:proofErr w:type="gramStart"/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контроля за</w:t>
      </w:r>
      <w:proofErr w:type="gramEnd"/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 xml:space="preserve"> оказанием государственной услуги по предоставлению дополнительного образования детям в организациях дополнительного образования регионального значения со стороны органов государственной власти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13.1.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Контроль за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соблюдением Организацией предусмотренных лицензией условий обеспечивает государственный орган управления образованием, выдавший лицензию. В случае нарушения этих условий лицензия подлежит изъятию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13.2. Государственная аттестационная служба может направить организации, имеющей государственную аккредитацию, рекламацию на качество образования и (или) несоответствие образования требованиям настоящих Стандартов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в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ред. Постановления КМ РТ от 29.11.2014 N 931)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13.3.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Контроль за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предоставлением государственной услуги со стороны органов государственной власти осуществляется в соответствии с </w:t>
      </w:r>
      <w:hyperlink r:id="rId30" w:history="1"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Постановлением </w:t>
        </w:r>
        <w:r w:rsidRPr="00AD3539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lastRenderedPageBreak/>
          <w:t>Кабинета Министров Республики Татарстан от 30.06.2009 N 446 "О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Республики Татарстан"</w:t>
        </w:r>
      </w:hyperlink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14. Оказание государственной услуги по предоставлению дополнительного образования детям в организациях дополнительного образования регионального значения за плату или бесплатно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(в ред. Постановления </w:t>
      </w:r>
      <w:proofErr w:type="gramStart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>КМ</w:t>
      </w:r>
      <w:proofErr w:type="gramEnd"/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 РТ от 29.11.2014 N 931)</w:t>
      </w:r>
    </w:p>
    <w:p w:rsidR="00AD3539" w:rsidRPr="00AD3539" w:rsidRDefault="00AD3539" w:rsidP="00AD353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Учреждение может оказывать дополнительные платные образовательные услуги, выходящие за рамки образовательных программ, указанных в настоящих Стандартах (преподавание специальных курсов и циклов дисциплин, репетиторство и другие услуги), по договорам с учреждениями, предприятиями, организациями и физическими лицами. Получатель имеет право затребовать составление сметы на оказание платных образовательных услуг, предусмотренных договором. В этом случае смета становится частью договора. Составление такой сметы по требованию получателя обязательно.</w:t>
      </w:r>
    </w:p>
    <w:p w:rsidR="00AD3539" w:rsidRDefault="00AD3539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Default="0045477C" w:rsidP="00AD3539">
      <w:pPr>
        <w:spacing w:after="0" w:line="240" w:lineRule="auto"/>
        <w:rPr>
          <w:sz w:val="24"/>
          <w:szCs w:val="24"/>
        </w:rPr>
      </w:pPr>
    </w:p>
    <w:p w:rsidR="0045477C" w:rsidRPr="0045477C" w:rsidRDefault="0045477C" w:rsidP="0045477C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Таблица 1. Предельная наполняемость групп физкультурно-спортивного направления дополнительного образования детей на этапах спортивной подготовки по видам спорта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(человек)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91"/>
        <w:gridCol w:w="1321"/>
        <w:gridCol w:w="1373"/>
        <w:gridCol w:w="566"/>
        <w:gridCol w:w="700"/>
        <w:gridCol w:w="442"/>
        <w:gridCol w:w="442"/>
        <w:gridCol w:w="442"/>
        <w:gridCol w:w="442"/>
        <w:gridCol w:w="442"/>
        <w:gridCol w:w="729"/>
        <w:gridCol w:w="896"/>
        <w:gridCol w:w="1069"/>
      </w:tblGrid>
      <w:tr w:rsidR="0045477C" w:rsidRPr="00AD3539" w:rsidTr="0045477C">
        <w:trPr>
          <w:trHeight w:val="15"/>
        </w:trPr>
        <w:tc>
          <w:tcPr>
            <w:tcW w:w="491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</w:t>
            </w:r>
            <w:proofErr w:type="spellEnd"/>
            <w:proofErr w:type="gram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</w:t>
            </w: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Вид спорта</w:t>
            </w:r>
          </w:p>
        </w:tc>
        <w:tc>
          <w:tcPr>
            <w:tcW w:w="754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Этапы спортивной подготовки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12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начальной подготовки</w:t>
            </w:r>
          </w:p>
        </w:tc>
        <w:tc>
          <w:tcPr>
            <w:tcW w:w="221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учебно-тренировочный</w:t>
            </w:r>
          </w:p>
        </w:tc>
        <w:tc>
          <w:tcPr>
            <w:tcW w:w="16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спортивного совершенствования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высшего спортивного мастерства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По годам подготовки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до года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свыше года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до года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свыше года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весь период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11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13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Баскетбол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Легкая атлетика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Греко-римская борьба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Фехтование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Рукопашный бой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Гандбол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Бокс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Дзюдо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Национальная борьба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Лыжные гонки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Волейбол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 xml:space="preserve">Гребля на </w:t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байдарках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</w:t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</w:t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</w:t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Хоккей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Конный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Водное поло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Плавание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Футбол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Тяжелая атлетика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19.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Вольная борьба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Конькобежный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Горнолыжный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Гребля академическая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Лыжное двоеборье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Настольный теннис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Регби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11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11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Спортивная аэробика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Спортивная акробатика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Художественная гимнастика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29.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Тхэквондо</w:t>
            </w:r>
            <w:proofErr w:type="spellEnd"/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Велоспорт-шоссе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Синхронное плавание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32.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Шашки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Кикбоксинг</w:t>
            </w:r>
            <w:proofErr w:type="spellEnd"/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Пулевая стрельба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Стендовая стрельба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Спортивная гимнастика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Танцевальный спорт (бальные танцы)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38.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Прыжки на лыжах с трамплина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39.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Борьба на поясах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40.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Го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Армспорт</w:t>
            </w:r>
            <w:proofErr w:type="spellEnd"/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Хоккей с мячом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Спортивное ориентирование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Теннис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Пауэрлифтинг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Судомоделизм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Парашютный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48.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Парапланерный</w:t>
            </w:r>
            <w:proofErr w:type="spell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49.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Начально-техническое </w:t>
            </w: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моделирование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50.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Картинг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Мотокросс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Парусный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Гиревой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Шахматы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Фигурное катание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Хоккей на траве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11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11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Каратэ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58.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Самбо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59.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Бильярд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60.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Спортивный туризм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Воднолыжный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Атлетическая гимнастика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Авиационно-спортивный моделизм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Велоспорт-маунтинбайк</w:t>
            </w:r>
            <w:proofErr w:type="spell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</w:t>
            </w: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триал</w:t>
            </w:r>
            <w:proofErr w:type="spellEnd"/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Прыжки на батуте, акробатической дорожке и двойном мини-трамплине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66.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Стрельба из лука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Шорт-трек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5477C" w:rsidRPr="000269C7" w:rsidRDefault="0045477C" w:rsidP="0045477C">
      <w:pPr>
        <w:shd w:val="clear" w:color="auto" w:fill="FFFFFF"/>
        <w:spacing w:after="0" w:line="240" w:lineRule="auto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4"/>
          <w:szCs w:val="24"/>
        </w:rPr>
      </w:pPr>
      <w:r w:rsidRPr="00AD3539">
        <w:rPr>
          <w:rFonts w:ascii="Arial" w:eastAsia="Times New Roman" w:hAnsi="Arial" w:cs="Arial"/>
          <w:color w:val="4C4C4C"/>
          <w:spacing w:val="2"/>
          <w:sz w:val="24"/>
          <w:szCs w:val="24"/>
        </w:rPr>
        <w:t>Таблица 2. Недельный режим учебно-тренировочной работы на этапах спортивной подготовки по видам спорта</w:t>
      </w:r>
      <w:r w:rsidRPr="00AD3539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(часов)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91"/>
        <w:gridCol w:w="1322"/>
        <w:gridCol w:w="1373"/>
        <w:gridCol w:w="566"/>
        <w:gridCol w:w="700"/>
        <w:gridCol w:w="442"/>
        <w:gridCol w:w="442"/>
        <w:gridCol w:w="442"/>
        <w:gridCol w:w="442"/>
        <w:gridCol w:w="442"/>
        <w:gridCol w:w="721"/>
        <w:gridCol w:w="903"/>
        <w:gridCol w:w="1069"/>
      </w:tblGrid>
      <w:tr w:rsidR="0045477C" w:rsidRPr="00AD3539" w:rsidTr="0045477C">
        <w:trPr>
          <w:trHeight w:val="15"/>
        </w:trPr>
        <w:tc>
          <w:tcPr>
            <w:tcW w:w="491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</w:t>
            </w:r>
            <w:proofErr w:type="spellEnd"/>
            <w:proofErr w:type="gram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/</w:t>
            </w: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Вид спорта</w:t>
            </w:r>
          </w:p>
        </w:tc>
        <w:tc>
          <w:tcPr>
            <w:tcW w:w="7543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Этапы спортивной подготовки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12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начальной подготовки</w:t>
            </w:r>
          </w:p>
        </w:tc>
        <w:tc>
          <w:tcPr>
            <w:tcW w:w="221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учебно-тренировочный</w:t>
            </w:r>
          </w:p>
        </w:tc>
        <w:tc>
          <w:tcPr>
            <w:tcW w:w="16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спортивного совершенствования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высшего спортивного мастерства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По годам подготовки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до года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свыше года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до года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свыше года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весь период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11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13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Баскетбол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Легкая атлетика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Греко-римская борьба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Фехтование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Рукопашный бой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Гандбол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Бокс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Дзюдо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Национальная борьба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27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36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Лыжные гонки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Волейбол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Гребля на байдарках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13.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Хоккей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21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23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Конный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Водное поло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Плавание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Футбол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Тяжелая атлетика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19.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Вольная борьба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Конькобежный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27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36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Горнолыжный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Гребля академическая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Лыжное двоеборье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Настольный теннис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36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Регби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Спортивная аэробика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Спортивная акробатика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Художественная гимнастика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29.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Тхэквондо</w:t>
            </w:r>
            <w:proofErr w:type="spellEnd"/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Велоспорт-шоссе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Синхронное плавание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Шашки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33.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Кикбоксинг</w:t>
            </w:r>
            <w:proofErr w:type="spellEnd"/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Пулевая стрельба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Стендовая стрельба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36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Спортивная гимнастика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Танцевальный спорт (бальные танцы)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38.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Прыжки на лыжах с трамплина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39.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Борьба на поясах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27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40.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Го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Армспорт</w:t>
            </w:r>
            <w:proofErr w:type="spellEnd"/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Хоккей с мячом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Спортивное ориентирование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Теннис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Пауэрлифтинг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Судомоделизм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Парашютный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48.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Парапланерный</w:t>
            </w:r>
            <w:proofErr w:type="spell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49.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Начально-техническое моделирование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50.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Картинг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Мотокросс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Парусный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Гиревой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Шахматы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Фигурное катание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36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Хоккей на траве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Каратэ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58.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Самбо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59.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Бильярд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60.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Спортивный туризм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28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61.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Воднолыжный спорт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62.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Атлетическая гимнастика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63.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Авиационно-спортивный моделизм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64.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Велоспорт-маунтинбайк</w:t>
            </w:r>
            <w:proofErr w:type="spellEnd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 </w:t>
            </w:r>
            <w:proofErr w:type="spellStart"/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триал</w:t>
            </w:r>
            <w:proofErr w:type="spellEnd"/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65.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Прыжки на батуте, акробатической дорожке и двойном мини-трамплине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24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32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66.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Стрельба из лука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12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36</w:t>
            </w:r>
          </w:p>
        </w:tc>
      </w:tr>
      <w:tr w:rsidR="0045477C" w:rsidRPr="00AD3539" w:rsidTr="0045477C">
        <w:tc>
          <w:tcPr>
            <w:tcW w:w="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lastRenderedPageBreak/>
              <w:t>67.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Шорт-трек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9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14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16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</w:t>
            </w: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AD3539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5477C" w:rsidRPr="00AD3539" w:rsidRDefault="0045477C" w:rsidP="004547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5477C" w:rsidRPr="00AD3539" w:rsidRDefault="0045477C" w:rsidP="00AD3539">
      <w:pPr>
        <w:spacing w:after="0" w:line="240" w:lineRule="auto"/>
        <w:rPr>
          <w:sz w:val="24"/>
          <w:szCs w:val="24"/>
        </w:rPr>
      </w:pPr>
    </w:p>
    <w:sectPr w:rsidR="0045477C" w:rsidRPr="00AD3539" w:rsidSect="00DF76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D3539"/>
    <w:rsid w:val="000269C7"/>
    <w:rsid w:val="00090CB4"/>
    <w:rsid w:val="0045477C"/>
    <w:rsid w:val="00476D4D"/>
    <w:rsid w:val="00AD3539"/>
    <w:rsid w:val="00C16979"/>
    <w:rsid w:val="00DF7680"/>
    <w:rsid w:val="00E26D8B"/>
    <w:rsid w:val="00F3592C"/>
    <w:rsid w:val="00FE7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680"/>
  </w:style>
  <w:style w:type="paragraph" w:styleId="1">
    <w:name w:val="heading 1"/>
    <w:basedOn w:val="a"/>
    <w:link w:val="10"/>
    <w:uiPriority w:val="9"/>
    <w:qFormat/>
    <w:rsid w:val="00AD35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AD35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AD35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353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AD353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AD353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Balloon Text"/>
    <w:basedOn w:val="a"/>
    <w:link w:val="a4"/>
    <w:uiPriority w:val="99"/>
    <w:semiHidden/>
    <w:unhideWhenUsed/>
    <w:rsid w:val="00AD3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35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0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2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36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233466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  <w:div w:id="727265523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  <w:div w:id="44646656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17046233" TargetMode="External"/><Relationship Id="rId13" Type="http://schemas.openxmlformats.org/officeDocument/2006/relationships/hyperlink" Target="http://docs.cntd.ru/document/499039147" TargetMode="External"/><Relationship Id="rId18" Type="http://schemas.openxmlformats.org/officeDocument/2006/relationships/hyperlink" Target="http://docs.cntd.ru/document/499060765" TargetMode="External"/><Relationship Id="rId26" Type="http://schemas.openxmlformats.org/officeDocument/2006/relationships/hyperlink" Target="http://docs.cntd.ru/document/917046233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docs.cntd.ru/document/917034060" TargetMode="External"/><Relationship Id="rId7" Type="http://schemas.openxmlformats.org/officeDocument/2006/relationships/hyperlink" Target="http://docs.cntd.ru/document/917040876" TargetMode="External"/><Relationship Id="rId12" Type="http://schemas.openxmlformats.org/officeDocument/2006/relationships/hyperlink" Target="http://docs.cntd.ru/document/902075039" TargetMode="External"/><Relationship Id="rId17" Type="http://schemas.openxmlformats.org/officeDocument/2006/relationships/hyperlink" Target="http://docs.cntd.ru/document/901763634" TargetMode="External"/><Relationship Id="rId25" Type="http://schemas.openxmlformats.org/officeDocument/2006/relationships/hyperlink" Target="http://docs.cntd.ru/document/9005388" TargetMode="External"/><Relationship Id="rId2" Type="http://schemas.openxmlformats.org/officeDocument/2006/relationships/styles" Target="styles.xml"/><Relationship Id="rId16" Type="http://schemas.openxmlformats.org/officeDocument/2006/relationships/hyperlink" Target="http://docs.cntd.ru/document/420207400" TargetMode="External"/><Relationship Id="rId20" Type="http://schemas.openxmlformats.org/officeDocument/2006/relationships/hyperlink" Target="http://docs.cntd.ru/document/917019516" TargetMode="External"/><Relationship Id="rId29" Type="http://schemas.openxmlformats.org/officeDocument/2006/relationships/hyperlink" Target="http://docs.cntd.ru/document/902292982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docs.cntd.ru/document/917046233" TargetMode="External"/><Relationship Id="rId11" Type="http://schemas.openxmlformats.org/officeDocument/2006/relationships/hyperlink" Target="http://docs.cntd.ru/document/901737405" TargetMode="External"/><Relationship Id="rId24" Type="http://schemas.openxmlformats.org/officeDocument/2006/relationships/hyperlink" Target="http://docs.cntd.ru/document/902344800" TargetMode="External"/><Relationship Id="rId32" Type="http://schemas.openxmlformats.org/officeDocument/2006/relationships/theme" Target="theme/theme1.xml"/><Relationship Id="rId5" Type="http://schemas.openxmlformats.org/officeDocument/2006/relationships/hyperlink" Target="http://docs.cntd.ru/document/917040876" TargetMode="External"/><Relationship Id="rId15" Type="http://schemas.openxmlformats.org/officeDocument/2006/relationships/hyperlink" Target="http://docs.cntd.ru/document/901852095" TargetMode="External"/><Relationship Id="rId23" Type="http://schemas.openxmlformats.org/officeDocument/2006/relationships/hyperlink" Target="http://docs.cntd.ru/document/902111644" TargetMode="External"/><Relationship Id="rId28" Type="http://schemas.openxmlformats.org/officeDocument/2006/relationships/hyperlink" Target="http://docs.cntd.ru/document/902292982" TargetMode="External"/><Relationship Id="rId10" Type="http://schemas.openxmlformats.org/officeDocument/2006/relationships/hyperlink" Target="http://docs.cntd.ru/document/902389615" TargetMode="External"/><Relationship Id="rId19" Type="http://schemas.openxmlformats.org/officeDocument/2006/relationships/hyperlink" Target="http://docs.cntd.ru/document/463304037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9004937" TargetMode="External"/><Relationship Id="rId14" Type="http://schemas.openxmlformats.org/officeDocument/2006/relationships/hyperlink" Target="http://docs.cntd.ru/document/499053536" TargetMode="External"/><Relationship Id="rId22" Type="http://schemas.openxmlformats.org/officeDocument/2006/relationships/hyperlink" Target="http://docs.cntd.ru/document/902344800" TargetMode="External"/><Relationship Id="rId27" Type="http://schemas.openxmlformats.org/officeDocument/2006/relationships/image" Target="media/image1.jpeg"/><Relationship Id="rId30" Type="http://schemas.openxmlformats.org/officeDocument/2006/relationships/hyperlink" Target="http://docs.cntd.ru/document/91703406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0D41B8-29E3-4968-8836-D3352A2BA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28</Pages>
  <Words>7178</Words>
  <Characters>40919</Characters>
  <Application>Microsoft Office Word</Application>
  <DocSecurity>0</DocSecurity>
  <Lines>340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2016-03-10T10:43:00Z</cp:lastPrinted>
  <dcterms:created xsi:type="dcterms:W3CDTF">2016-03-02T12:25:00Z</dcterms:created>
  <dcterms:modified xsi:type="dcterms:W3CDTF">2016-03-11T06:46:00Z</dcterms:modified>
</cp:coreProperties>
</file>